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8" w:beforeLines="50" w:after="158" w:afterLines="50" w:line="240" w:lineRule="auto"/>
        <w:ind w:left="0" w:leftChars="0" w:right="0" w:rightChars="0" w:firstLine="361" w:firstLineChars="100"/>
        <w:jc w:val="both"/>
        <w:textAlignment w:val="auto"/>
        <w:outlineLvl w:val="9"/>
        <w:rPr>
          <w:rFonts w:hint="eastAsia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附件1：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8" w:beforeLines="50" w:after="158" w:afterLines="50" w:line="240" w:lineRule="auto"/>
        <w:ind w:left="0" w:leftChars="0" w:right="0" w:rightChars="0" w:firstLine="361" w:firstLineChars="100"/>
        <w:jc w:val="center"/>
        <w:textAlignment w:val="auto"/>
        <w:outlineLvl w:val="9"/>
        <w:rPr>
          <w:rFonts w:hint="eastAsia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福建卫生职业技术学院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8" w:beforeLines="50" w:after="158" w:afterLines="50" w:line="240" w:lineRule="auto"/>
        <w:ind w:left="0" w:leftChars="0" w:right="0" w:rightChars="0" w:firstLine="361" w:firstLineChars="100"/>
        <w:jc w:val="center"/>
        <w:textAlignment w:val="auto"/>
        <w:outlineLvl w:val="9"/>
        <w:rPr>
          <w:rFonts w:hint="eastAsia"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  <w:lang w:eastAsia="zh-CN"/>
        </w:rPr>
        <w:t>报废资产废弃物</w:t>
      </w:r>
      <w:r>
        <w:rPr>
          <w:rFonts w:hint="eastAsia" w:ascii="黑体" w:hAnsi="宋体" w:eastAsia="黑体"/>
          <w:b/>
          <w:sz w:val="36"/>
          <w:szCs w:val="36"/>
        </w:rPr>
        <w:t>清运服务报价表</w:t>
      </w:r>
    </w:p>
    <w:tbl>
      <w:tblPr>
        <w:tblStyle w:val="3"/>
        <w:tblW w:w="9245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4605"/>
        <w:gridCol w:w="31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目</w:t>
            </w:r>
          </w:p>
        </w:tc>
        <w:tc>
          <w:tcPr>
            <w:tcW w:w="460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报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</w:rPr>
              <w:t>价</w:t>
            </w: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  <w:jc w:val="center"/>
        </w:trPr>
        <w:tc>
          <w:tcPr>
            <w:tcW w:w="15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报废资产废弃物</w:t>
            </w:r>
            <w:r>
              <w:rPr>
                <w:rFonts w:hint="eastAsia" w:ascii="宋体" w:hAnsi="宋体"/>
                <w:sz w:val="24"/>
                <w:szCs w:val="24"/>
              </w:rPr>
              <w:t>清运</w:t>
            </w:r>
          </w:p>
        </w:tc>
        <w:tc>
          <w:tcPr>
            <w:tcW w:w="4605" w:type="dxa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报价</w:t>
            </w:r>
            <w:r>
              <w:rPr>
                <w:rFonts w:ascii="宋体" w:hAnsi="宋体"/>
                <w:sz w:val="24"/>
                <w:szCs w:val="24"/>
              </w:rPr>
              <w:t>(人民币大写)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  <w:szCs w:val="24"/>
              </w:rPr>
              <w:t>元整</w:t>
            </w:r>
          </w:p>
        </w:tc>
        <w:tc>
          <w:tcPr>
            <w:tcW w:w="311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widowControl/>
        <w:spacing w:line="420" w:lineRule="exact"/>
        <w:jc w:val="left"/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注：所报价格应</w:t>
      </w:r>
      <w:r>
        <w:rPr>
          <w:rFonts w:ascii="黑体" w:eastAsia="黑体"/>
          <w:b/>
          <w:sz w:val="24"/>
        </w:rPr>
        <w:t>包括在清运服务</w:t>
      </w:r>
      <w:r>
        <w:rPr>
          <w:rFonts w:hint="eastAsia" w:ascii="黑体" w:eastAsia="黑体"/>
          <w:b/>
          <w:sz w:val="24"/>
        </w:rPr>
        <w:t>所</w:t>
      </w:r>
      <w:r>
        <w:rPr>
          <w:rFonts w:ascii="黑体" w:eastAsia="黑体"/>
          <w:b/>
          <w:sz w:val="24"/>
        </w:rPr>
        <w:t>需</w:t>
      </w:r>
      <w:r>
        <w:rPr>
          <w:rFonts w:hint="eastAsia" w:ascii="黑体" w:eastAsia="黑体"/>
          <w:b/>
          <w:sz w:val="24"/>
        </w:rPr>
        <w:t>人工费、车费、</w:t>
      </w:r>
      <w:r>
        <w:rPr>
          <w:rFonts w:hint="eastAsia" w:ascii="黑体" w:eastAsia="黑体"/>
          <w:b/>
          <w:sz w:val="24"/>
          <w:lang w:eastAsia="zh-CN"/>
        </w:rPr>
        <w:t>废弃物</w:t>
      </w:r>
      <w:r>
        <w:rPr>
          <w:rFonts w:hint="eastAsia" w:ascii="黑体" w:eastAsia="黑体"/>
          <w:b/>
          <w:sz w:val="24"/>
        </w:rPr>
        <w:t>处理费、税费</w:t>
      </w:r>
      <w:r>
        <w:rPr>
          <w:rFonts w:ascii="黑体" w:eastAsia="黑体"/>
          <w:b/>
          <w:sz w:val="24"/>
        </w:rPr>
        <w:t>及合同包含的所有风险、责任等各项应有</w:t>
      </w:r>
      <w:r>
        <w:rPr>
          <w:rFonts w:hint="eastAsia" w:ascii="黑体" w:eastAsia="黑体"/>
          <w:b/>
          <w:sz w:val="24"/>
        </w:rPr>
        <w:t>的一切</w:t>
      </w:r>
      <w:r>
        <w:rPr>
          <w:rFonts w:ascii="黑体" w:eastAsia="黑体"/>
          <w:b/>
          <w:sz w:val="24"/>
        </w:rPr>
        <w:t>费用。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ind w:firstLine="3840" w:firstLineChars="1600"/>
        <w:rPr>
          <w:rFonts w:hint="eastAsia"/>
        </w:rPr>
      </w:pPr>
      <w:r>
        <w:rPr>
          <w:rFonts w:hint="eastAsia"/>
          <w:sz w:val="24"/>
          <w:szCs w:val="24"/>
        </w:rPr>
        <w:t>投标人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</w:rPr>
        <w:t>签</w:t>
      </w:r>
      <w:r>
        <w:rPr>
          <w:rFonts w:hint="eastAsia"/>
          <w:sz w:val="24"/>
          <w:szCs w:val="24"/>
          <w:lang w:eastAsia="zh-CN"/>
        </w:rPr>
        <w:t>章）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</w:rPr>
        <w:t xml:space="preserve">  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D3"/>
    <w:rsid w:val="00533BD3"/>
    <w:rsid w:val="21035C63"/>
    <w:rsid w:val="23BD187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2018-09-29T02:52:00Z</dcterms:created>
  <dc:creator>papa</dc:creator>
  <cp:lastModifiedBy>彭莎</cp:lastModifiedBy>
  <dcterms:modified xsi:type="dcterms:W3CDTF">2018-09-29T03:03:42Z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